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689D3C" w14:textId="7082AFD0" w:rsidR="00D03DB8" w:rsidRPr="00D03DB8" w:rsidRDefault="00D03DB8" w:rsidP="00D03DB8">
      <w:pPr>
        <w:tabs>
          <w:tab w:val="left" w:pos="4116"/>
        </w:tabs>
        <w:spacing w:after="0"/>
        <w:rPr>
          <w:lang w:val="es-VE"/>
        </w:rPr>
      </w:pPr>
      <w:r w:rsidRPr="005B3F4C">
        <w:rPr>
          <w:b/>
          <w:noProof/>
          <w:color w:val="FFC000" w:themeColor="accent4"/>
          <w:sz w:val="36"/>
          <w:szCs w:val="36"/>
          <w:lang w:val="es-ES" w:eastAsia="es-ES"/>
        </w:rPr>
        <w:drawing>
          <wp:anchor distT="0" distB="0" distL="114300" distR="114300" simplePos="0" relativeHeight="251659264" behindDoc="1" locked="0" layoutInCell="1" allowOverlap="1" wp14:anchorId="63D09B47" wp14:editId="4FA172E0">
            <wp:simplePos x="0" y="0"/>
            <wp:positionH relativeFrom="margin">
              <wp:align>left</wp:align>
            </wp:positionH>
            <wp:positionV relativeFrom="paragraph">
              <wp:posOffset>91</wp:posOffset>
            </wp:positionV>
            <wp:extent cx="769620" cy="731520"/>
            <wp:effectExtent l="0" t="0" r="0" b="0"/>
            <wp:wrapTight wrapText="bothSides">
              <wp:wrapPolygon edited="0">
                <wp:start x="0" y="0"/>
                <wp:lineTo x="0" y="20813"/>
                <wp:lineTo x="20851" y="20813"/>
                <wp:lineTo x="208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769620" cy="731520"/>
                    </a:xfrm>
                    <a:prstGeom prst="rect">
                      <a:avLst/>
                    </a:prstGeom>
                  </pic:spPr>
                </pic:pic>
              </a:graphicData>
            </a:graphic>
          </wp:anchor>
        </w:drawing>
      </w:r>
      <w:r w:rsidRPr="00D03DB8">
        <w:rPr>
          <w:lang w:val="es-VE"/>
        </w:rPr>
        <w:t xml:space="preserve"> </w:t>
      </w:r>
      <w:r w:rsidRPr="00D03DB8">
        <w:rPr>
          <w:b/>
          <w:color w:val="87BE28"/>
          <w:sz w:val="36"/>
          <w:szCs w:val="36"/>
          <w:lang w:val="es-VE"/>
        </w:rPr>
        <w:t>Paso 3: movilización de recursos</w:t>
      </w:r>
    </w:p>
    <w:p w14:paraId="60650B58" w14:textId="77777777" w:rsidR="00D03DB8" w:rsidRPr="00D03DB8" w:rsidRDefault="00D03DB8" w:rsidP="00D03DB8">
      <w:pPr>
        <w:tabs>
          <w:tab w:val="left" w:pos="4116"/>
        </w:tabs>
        <w:rPr>
          <w:bCs/>
          <w:color w:val="87BE28"/>
          <w:sz w:val="36"/>
          <w:szCs w:val="36"/>
          <w:lang w:val="en-GB"/>
        </w:rPr>
      </w:pPr>
      <w:r w:rsidRPr="00D03DB8">
        <w:rPr>
          <w:bCs/>
          <w:color w:val="87BE28"/>
          <w:sz w:val="36"/>
          <w:szCs w:val="36"/>
          <w:lang w:val="en-GB"/>
        </w:rPr>
        <w:t>Anexos para facilitar la toma de los “pasos” de colaboración</w:t>
      </w:r>
    </w:p>
    <w:p w14:paraId="1F711540" w14:textId="77777777" w:rsidR="00D03DB8" w:rsidRPr="00D03DB8" w:rsidRDefault="00D03DB8" w:rsidP="00D03DB8">
      <w:pPr>
        <w:tabs>
          <w:tab w:val="left" w:pos="4116"/>
        </w:tabs>
        <w:rPr>
          <w:lang w:val="es-VE"/>
        </w:rPr>
      </w:pPr>
    </w:p>
    <w:p w14:paraId="5048E967" w14:textId="77777777" w:rsidR="00D03DB8" w:rsidRPr="00D03DB8" w:rsidRDefault="00D03DB8" w:rsidP="00D03DB8">
      <w:pPr>
        <w:pStyle w:val="Textocomentario"/>
        <w:spacing w:after="0"/>
        <w:ind w:firstLine="993"/>
        <w:rPr>
          <w:rStyle w:val="Hipervnculo"/>
          <w:bCs/>
          <w:color w:val="87BE28"/>
          <w:sz w:val="22"/>
          <w:szCs w:val="22"/>
          <w:u w:val="none"/>
          <w:lang w:val="en-GB"/>
        </w:rPr>
      </w:pPr>
      <w:r w:rsidRPr="00D03DB8">
        <w:rPr>
          <w:rStyle w:val="Hipervnculo"/>
          <w:b/>
          <w:color w:val="87BE28"/>
          <w:sz w:val="22"/>
          <w:szCs w:val="22"/>
          <w:lang w:val="en-GB"/>
        </w:rPr>
        <w:t>Anexo 9</w:t>
      </w:r>
      <w:r w:rsidRPr="00D03DB8">
        <w:rPr>
          <w:rStyle w:val="Hipervnculo"/>
          <w:bCs/>
          <w:color w:val="87BE28"/>
          <w:sz w:val="22"/>
          <w:szCs w:val="22"/>
          <w:u w:val="none"/>
          <w:lang w:val="en-GB"/>
        </w:rPr>
        <w:t xml:space="preserve"> Ejemplo de análisis de donantes de primera línea a nivel mundial, que se adaptará al nivel de país</w:t>
      </w:r>
    </w:p>
    <w:p w14:paraId="182EF441" w14:textId="77777777" w:rsidR="00D03DB8" w:rsidRPr="00D03DB8" w:rsidRDefault="00D03DB8" w:rsidP="00D03DB8">
      <w:pPr>
        <w:pStyle w:val="Textocomentario"/>
        <w:spacing w:after="0"/>
        <w:ind w:firstLine="993"/>
        <w:rPr>
          <w:rStyle w:val="Hipervnculo"/>
          <w:b/>
          <w:color w:val="87BE28"/>
          <w:sz w:val="22"/>
          <w:szCs w:val="22"/>
          <w:lang w:val="en-GB"/>
        </w:rPr>
      </w:pPr>
      <w:r w:rsidRPr="00D03DB8">
        <w:rPr>
          <w:rStyle w:val="Hipervnculo"/>
          <w:b/>
          <w:color w:val="87BE28"/>
          <w:sz w:val="22"/>
          <w:szCs w:val="22"/>
          <w:lang w:val="en-GB"/>
        </w:rPr>
        <w:t>Anexo 10</w:t>
      </w:r>
      <w:r w:rsidRPr="00D03DB8">
        <w:rPr>
          <w:rStyle w:val="Hipervnculo"/>
          <w:bCs/>
          <w:color w:val="87BE28"/>
          <w:sz w:val="22"/>
          <w:szCs w:val="22"/>
          <w:u w:val="none"/>
          <w:lang w:val="en-GB"/>
        </w:rPr>
        <w:t xml:space="preserve"> Ejemplo de criterios de investigación para fichas de proyectos conjuntos</w:t>
      </w:r>
    </w:p>
    <w:p w14:paraId="5C5D214D" w14:textId="77777777" w:rsidR="00D03DB8" w:rsidRPr="00D03DB8" w:rsidRDefault="00D03DB8" w:rsidP="00D03DB8">
      <w:pPr>
        <w:tabs>
          <w:tab w:val="left" w:pos="4116"/>
        </w:tabs>
        <w:rPr>
          <w:lang w:val="es-VE"/>
        </w:rPr>
      </w:pPr>
    </w:p>
    <w:p w14:paraId="7BD36FF2" w14:textId="77777777" w:rsidR="00D03DB8" w:rsidRPr="006169E7" w:rsidRDefault="00D03DB8" w:rsidP="00D03DB8">
      <w:pPr>
        <w:tabs>
          <w:tab w:val="left" w:pos="4116"/>
        </w:tabs>
        <w:rPr>
          <w:b/>
          <w:color w:val="87BE28"/>
          <w:lang w:val="en-GB"/>
        </w:rPr>
      </w:pPr>
      <w:r w:rsidRPr="006169E7">
        <w:rPr>
          <w:b/>
          <w:color w:val="87BE28"/>
          <w:lang w:val="en-GB"/>
        </w:rPr>
        <w:t>Anexo 9: Ejemplo de análisis de donantes de primera línea a nivel mundial, que se adaptará al nivel de país</w:t>
      </w:r>
    </w:p>
    <w:p w14:paraId="797A831B" w14:textId="584E5CCC" w:rsidR="00D03DB8" w:rsidRPr="006169E7" w:rsidRDefault="00D03DB8" w:rsidP="00D03DB8">
      <w:pPr>
        <w:pStyle w:val="Prrafodelista"/>
        <w:numPr>
          <w:ilvl w:val="0"/>
          <w:numId w:val="2"/>
        </w:numPr>
        <w:tabs>
          <w:tab w:val="left" w:pos="4116"/>
        </w:tabs>
        <w:rPr>
          <w:i/>
          <w:iCs/>
          <w:lang w:val="es-VE"/>
        </w:rPr>
      </w:pPr>
      <w:r w:rsidRPr="006169E7">
        <w:rPr>
          <w:i/>
          <w:iCs/>
          <w:lang w:val="es-VE"/>
        </w:rPr>
        <w:t>Este anexo se desarrollará más durante la prueba piloto del marco a nivel país de agosto a octubre de 2020</w:t>
      </w:r>
    </w:p>
    <w:p w14:paraId="6C04AE19" w14:textId="77777777" w:rsidR="00D03DB8" w:rsidRPr="00D03DB8" w:rsidRDefault="00D03DB8" w:rsidP="00D03DB8">
      <w:pPr>
        <w:tabs>
          <w:tab w:val="left" w:pos="4116"/>
        </w:tabs>
        <w:rPr>
          <w:lang w:val="es-VE"/>
        </w:rPr>
      </w:pPr>
      <w:r w:rsidRPr="00D03DB8">
        <w:rPr>
          <w:lang w:val="es-VE"/>
        </w:rPr>
        <w:t>El análisis de la DG ECHO de 311 proyectos relacionados con la educación en situaciones de emergencia (EiE) y aprobados y financiados entre 2015-2019, indica las siguientes tendencias para la programación integrada del CP-EiE entre los proyectos revisados:</w:t>
      </w:r>
    </w:p>
    <w:p w14:paraId="0A97E8B3" w14:textId="5EE09DA9" w:rsidR="00D03DB8" w:rsidRPr="006169E7" w:rsidRDefault="00D03DB8" w:rsidP="006169E7">
      <w:pPr>
        <w:pStyle w:val="Prrafodelista"/>
        <w:numPr>
          <w:ilvl w:val="0"/>
          <w:numId w:val="4"/>
        </w:numPr>
        <w:tabs>
          <w:tab w:val="left" w:pos="4116"/>
        </w:tabs>
        <w:rPr>
          <w:lang w:val="es-VE"/>
        </w:rPr>
      </w:pPr>
      <w:r w:rsidRPr="006169E7">
        <w:rPr>
          <w:lang w:val="es-VE"/>
        </w:rPr>
        <w:t>77% de los proyectos fueron multisectoriales con resultados, actividades e indicadores específicos del sector</w:t>
      </w:r>
    </w:p>
    <w:p w14:paraId="00C6D8FF" w14:textId="0E2B4DFA" w:rsidR="00D03DB8" w:rsidRPr="006169E7" w:rsidRDefault="00D03DB8" w:rsidP="006169E7">
      <w:pPr>
        <w:pStyle w:val="Prrafodelista"/>
        <w:numPr>
          <w:ilvl w:val="0"/>
          <w:numId w:val="4"/>
        </w:numPr>
        <w:tabs>
          <w:tab w:val="left" w:pos="4116"/>
        </w:tabs>
        <w:rPr>
          <w:lang w:val="es-VE"/>
        </w:rPr>
      </w:pPr>
      <w:r w:rsidRPr="006169E7">
        <w:rPr>
          <w:lang w:val="es-VE"/>
        </w:rPr>
        <w:t>El 66% de los proyectos contienen actividades de protección infantil relacionadas con la educación</w:t>
      </w:r>
    </w:p>
    <w:p w14:paraId="677F6A6D" w14:textId="1FFD2EE6" w:rsidR="00D03DB8" w:rsidRPr="006169E7" w:rsidRDefault="00D03DB8" w:rsidP="006169E7">
      <w:pPr>
        <w:pStyle w:val="Prrafodelista"/>
        <w:numPr>
          <w:ilvl w:val="0"/>
          <w:numId w:val="4"/>
        </w:numPr>
        <w:tabs>
          <w:tab w:val="left" w:pos="4116"/>
        </w:tabs>
        <w:rPr>
          <w:lang w:val="es-VE"/>
        </w:rPr>
      </w:pPr>
      <w:r w:rsidRPr="006169E7">
        <w:rPr>
          <w:b/>
          <w:bCs/>
          <w:color w:val="87BE28"/>
          <w:lang w:val="es-VE"/>
        </w:rPr>
        <w:t xml:space="preserve">Sensibilización, movilización y </w:t>
      </w:r>
      <w:r w:rsidR="006169E7">
        <w:rPr>
          <w:b/>
          <w:bCs/>
          <w:color w:val="87BE28"/>
          <w:lang w:val="es-VE"/>
        </w:rPr>
        <w:t>concientización</w:t>
      </w:r>
      <w:r w:rsidRPr="006169E7">
        <w:rPr>
          <w:b/>
          <w:bCs/>
          <w:color w:val="87BE28"/>
          <w:lang w:val="es-VE"/>
        </w:rPr>
        <w:t xml:space="preserve"> de la comunidad</w:t>
      </w:r>
      <w:r w:rsidRPr="006169E7">
        <w:rPr>
          <w:lang w:val="es-VE"/>
        </w:rPr>
        <w:t xml:space="preserve"> </w:t>
      </w:r>
      <w:r w:rsidRPr="00574E23">
        <w:rPr>
          <w:b/>
          <w:bCs/>
          <w:lang w:val="es-VE"/>
        </w:rPr>
        <w:t>en el</w:t>
      </w:r>
      <w:r w:rsidRPr="006169E7">
        <w:rPr>
          <w:lang w:val="es-VE"/>
        </w:rPr>
        <w:t xml:space="preserve"> </w:t>
      </w:r>
      <w:r w:rsidRPr="006169E7">
        <w:rPr>
          <w:b/>
          <w:bCs/>
          <w:lang w:val="es-VE"/>
        </w:rPr>
        <w:t xml:space="preserve">82% </w:t>
      </w:r>
      <w:r w:rsidRPr="006169E7">
        <w:rPr>
          <w:lang w:val="es-VE"/>
        </w:rPr>
        <w:t>de los proyectos:</w:t>
      </w:r>
    </w:p>
    <w:p w14:paraId="1E22D5DB" w14:textId="4A008567" w:rsidR="00D03DB8" w:rsidRPr="006169E7" w:rsidRDefault="00D03DB8" w:rsidP="00574E23">
      <w:pPr>
        <w:pStyle w:val="Prrafodelista"/>
        <w:numPr>
          <w:ilvl w:val="1"/>
          <w:numId w:val="5"/>
        </w:numPr>
        <w:tabs>
          <w:tab w:val="left" w:pos="4116"/>
        </w:tabs>
        <w:rPr>
          <w:lang w:val="es-VE"/>
        </w:rPr>
      </w:pPr>
      <w:r w:rsidRPr="006169E7">
        <w:rPr>
          <w:lang w:val="es-VE"/>
        </w:rPr>
        <w:t>Campañas de matrícula y regreso a clases (56%)</w:t>
      </w:r>
    </w:p>
    <w:p w14:paraId="3972F3F9" w14:textId="389280B9" w:rsidR="00D03DB8" w:rsidRPr="006169E7" w:rsidRDefault="00D03DB8" w:rsidP="00574E23">
      <w:pPr>
        <w:pStyle w:val="Prrafodelista"/>
        <w:numPr>
          <w:ilvl w:val="1"/>
          <w:numId w:val="5"/>
        </w:numPr>
        <w:tabs>
          <w:tab w:val="left" w:pos="4116"/>
        </w:tabs>
        <w:rPr>
          <w:lang w:val="es-VE"/>
        </w:rPr>
      </w:pPr>
      <w:r w:rsidRPr="006169E7">
        <w:rPr>
          <w:lang w:val="es-VE"/>
        </w:rPr>
        <w:t>Riesgos de protección infantil a los que se enfrentan los niños (51%): separación de la familia, secuestro</w:t>
      </w:r>
      <w:r w:rsidR="006169E7">
        <w:rPr>
          <w:lang w:val="es-VE"/>
        </w:rPr>
        <w:t>/rapto</w:t>
      </w:r>
      <w:r w:rsidRPr="006169E7">
        <w:rPr>
          <w:lang w:val="es-VE"/>
        </w:rPr>
        <w:t>, reclutamiento armado, violencia sexual, derechos del niño, asesoramiento psicosocial para afrontar reacciones al estrés o traumas graves</w:t>
      </w:r>
    </w:p>
    <w:p w14:paraId="011E2A4D" w14:textId="77777777" w:rsidR="00574E23" w:rsidRDefault="00D03DB8" w:rsidP="00574E23">
      <w:pPr>
        <w:pStyle w:val="Prrafodelista"/>
        <w:numPr>
          <w:ilvl w:val="1"/>
          <w:numId w:val="5"/>
        </w:numPr>
        <w:tabs>
          <w:tab w:val="left" w:pos="4116"/>
        </w:tabs>
        <w:rPr>
          <w:lang w:val="es-VE"/>
        </w:rPr>
      </w:pPr>
      <w:r w:rsidRPr="006169E7">
        <w:rPr>
          <w:lang w:val="es-VE"/>
        </w:rPr>
        <w:t>Reducción del riesgo de conflictos/desastres (35%): mapeo de riesgos escolares, planes de seguridad y/o preparació</w:t>
      </w:r>
      <w:r w:rsidR="00574E23">
        <w:rPr>
          <w:lang w:val="es-VE"/>
        </w:rPr>
        <w:t>n</w:t>
      </w:r>
    </w:p>
    <w:p w14:paraId="31BFBE9B" w14:textId="7D4975B4" w:rsidR="00D03DB8" w:rsidRPr="00574E23" w:rsidRDefault="00D03DB8" w:rsidP="00574E23">
      <w:pPr>
        <w:pStyle w:val="Prrafodelista"/>
        <w:numPr>
          <w:ilvl w:val="0"/>
          <w:numId w:val="5"/>
        </w:numPr>
        <w:tabs>
          <w:tab w:val="left" w:pos="4116"/>
        </w:tabs>
        <w:rPr>
          <w:lang w:val="es-VE"/>
        </w:rPr>
      </w:pPr>
      <w:r w:rsidRPr="00574E23">
        <w:rPr>
          <w:lang w:val="es-VE"/>
        </w:rPr>
        <w:t xml:space="preserve"> </w:t>
      </w:r>
      <w:r w:rsidRPr="00574E23">
        <w:rPr>
          <w:b/>
          <w:bCs/>
          <w:color w:val="87BE28"/>
          <w:lang w:val="es-VE"/>
        </w:rPr>
        <w:t>Actividades de apoyo psicosocial (PSS)</w:t>
      </w:r>
      <w:r w:rsidRPr="00574E23">
        <w:rPr>
          <w:lang w:val="es-VE"/>
        </w:rPr>
        <w:t xml:space="preserve"> </w:t>
      </w:r>
      <w:r w:rsidRPr="00574E23">
        <w:rPr>
          <w:b/>
          <w:bCs/>
          <w:lang w:val="es-VE"/>
        </w:rPr>
        <w:t>en el 73%</w:t>
      </w:r>
      <w:r w:rsidRPr="00574E23">
        <w:rPr>
          <w:lang w:val="es-VE"/>
        </w:rPr>
        <w:t xml:space="preserve"> de los proyectos</w:t>
      </w:r>
    </w:p>
    <w:p w14:paraId="2400077E" w14:textId="1E021C5D" w:rsidR="00D03DB8" w:rsidRPr="00574E23" w:rsidRDefault="00D03DB8" w:rsidP="00574E23">
      <w:pPr>
        <w:pStyle w:val="Prrafodelista"/>
        <w:numPr>
          <w:ilvl w:val="1"/>
          <w:numId w:val="7"/>
        </w:numPr>
        <w:tabs>
          <w:tab w:val="left" w:pos="4116"/>
        </w:tabs>
        <w:rPr>
          <w:lang w:val="es-VE"/>
        </w:rPr>
      </w:pPr>
      <w:r w:rsidRPr="00574E23">
        <w:rPr>
          <w:lang w:val="es-VE"/>
        </w:rPr>
        <w:t>49% de los proyectos están llevando a cabo actividades de apoyo psicosocial (PSS) directamente con niños</w:t>
      </w:r>
    </w:p>
    <w:p w14:paraId="302C35AE" w14:textId="49C89655" w:rsidR="00D03DB8" w:rsidRPr="00574E23" w:rsidRDefault="00D03DB8" w:rsidP="00574E23">
      <w:pPr>
        <w:pStyle w:val="Prrafodelista"/>
        <w:numPr>
          <w:ilvl w:val="1"/>
          <w:numId w:val="7"/>
        </w:numPr>
        <w:tabs>
          <w:tab w:val="left" w:pos="4116"/>
        </w:tabs>
        <w:rPr>
          <w:lang w:val="es-VE"/>
        </w:rPr>
      </w:pPr>
      <w:r w:rsidRPr="00574E23">
        <w:rPr>
          <w:lang w:val="es-VE"/>
        </w:rPr>
        <w:t>El 58% de los proyectos revisados ​​son la formación de profesores y otro personal educativo en Apoyo Psicosocial y Primeros Auxilios Psicológicos (PSS / PFA)</w:t>
      </w:r>
    </w:p>
    <w:p w14:paraId="2B1423F0" w14:textId="088E2E7B" w:rsidR="00D03DB8" w:rsidRPr="00574E23" w:rsidRDefault="00D03DB8" w:rsidP="00574E23">
      <w:pPr>
        <w:pStyle w:val="Prrafodelista"/>
        <w:numPr>
          <w:ilvl w:val="1"/>
          <w:numId w:val="7"/>
        </w:numPr>
        <w:tabs>
          <w:tab w:val="left" w:pos="4116"/>
        </w:tabs>
        <w:rPr>
          <w:lang w:val="es-VE"/>
        </w:rPr>
      </w:pPr>
      <w:r w:rsidRPr="00574E23">
        <w:rPr>
          <w:lang w:val="es-VE"/>
        </w:rPr>
        <w:t>El 10% de los proyectos incluyen actividades para las necesidades de apoyo psicosocial de los maestros, otro personal educativo y cuidadores</w:t>
      </w:r>
    </w:p>
    <w:p w14:paraId="3EB36BDB" w14:textId="66A5E828" w:rsidR="00D03DB8" w:rsidRPr="00574E23" w:rsidRDefault="00D03DB8" w:rsidP="00574E23">
      <w:pPr>
        <w:pStyle w:val="Prrafodelista"/>
        <w:numPr>
          <w:ilvl w:val="0"/>
          <w:numId w:val="7"/>
        </w:numPr>
        <w:tabs>
          <w:tab w:val="left" w:pos="4116"/>
        </w:tabs>
        <w:rPr>
          <w:lang w:val="es-VE"/>
        </w:rPr>
      </w:pPr>
      <w:r w:rsidRPr="00574E23">
        <w:rPr>
          <w:b/>
          <w:bCs/>
          <w:color w:val="87BE28"/>
          <w:lang w:val="es-VE"/>
        </w:rPr>
        <w:t>Educación para salvar vidas y habilidades para la vida</w:t>
      </w:r>
      <w:r w:rsidRPr="00574E23">
        <w:rPr>
          <w:lang w:val="es-VE"/>
        </w:rPr>
        <w:t xml:space="preserve"> en el 65% de los proyectos sobre temas de higiene (26%), reducción del riesgo de conflictos / desastres (25%), salud (19%) y educación sobre el riesgo de minas (10%)</w:t>
      </w:r>
    </w:p>
    <w:p w14:paraId="043D76D8" w14:textId="6B780568" w:rsidR="00D03DB8" w:rsidRPr="00574E23" w:rsidRDefault="00D03DB8" w:rsidP="00574E23">
      <w:pPr>
        <w:pStyle w:val="Prrafodelista"/>
        <w:numPr>
          <w:ilvl w:val="0"/>
          <w:numId w:val="7"/>
        </w:numPr>
        <w:tabs>
          <w:tab w:val="left" w:pos="4116"/>
        </w:tabs>
        <w:rPr>
          <w:lang w:val="es-VE"/>
        </w:rPr>
      </w:pPr>
      <w:r w:rsidRPr="00574E23">
        <w:rPr>
          <w:b/>
          <w:bCs/>
          <w:color w:val="87BE28"/>
          <w:lang w:val="es-VE"/>
        </w:rPr>
        <w:t xml:space="preserve">Capacitación para maestros en temas de bienestar infantil </w:t>
      </w:r>
      <w:r w:rsidRPr="00574E23">
        <w:rPr>
          <w:lang w:val="es-VE"/>
        </w:rPr>
        <w:t>en 54% (sobre protección infantil, derechos del niño y salvaguardia del niño)</w:t>
      </w:r>
    </w:p>
    <w:p w14:paraId="51D7B4E8" w14:textId="77777777" w:rsidR="00574E23" w:rsidRDefault="00D03DB8" w:rsidP="00574E23">
      <w:pPr>
        <w:pStyle w:val="Prrafodelista"/>
        <w:numPr>
          <w:ilvl w:val="0"/>
          <w:numId w:val="7"/>
        </w:numPr>
        <w:tabs>
          <w:tab w:val="left" w:pos="4116"/>
        </w:tabs>
        <w:rPr>
          <w:lang w:val="es-VE"/>
        </w:rPr>
      </w:pPr>
      <w:r w:rsidRPr="00574E23">
        <w:rPr>
          <w:b/>
          <w:bCs/>
          <w:color w:val="87BE28"/>
          <w:lang w:val="es-VE"/>
        </w:rPr>
        <w:t>Mecanismos de derivación</w:t>
      </w:r>
      <w:r w:rsidRPr="00574E23">
        <w:rPr>
          <w:lang w:val="es-VE"/>
        </w:rPr>
        <w:t xml:space="preserve"> </w:t>
      </w:r>
      <w:r w:rsidRPr="00574E23">
        <w:rPr>
          <w:b/>
          <w:bCs/>
          <w:lang w:val="es-VE"/>
        </w:rPr>
        <w:t>en el 41%</w:t>
      </w:r>
      <w:r w:rsidRPr="00574E23">
        <w:rPr>
          <w:lang w:val="es-VE"/>
        </w:rPr>
        <w:t xml:space="preserve"> (incluido el desarrollo, la capacitación y la implementación)</w:t>
      </w:r>
    </w:p>
    <w:p w14:paraId="6BA38F7F" w14:textId="60CDCA53" w:rsidR="00D03DB8" w:rsidRPr="00574E23" w:rsidRDefault="00D03DB8" w:rsidP="00574E23">
      <w:pPr>
        <w:pStyle w:val="Prrafodelista"/>
        <w:numPr>
          <w:ilvl w:val="1"/>
          <w:numId w:val="7"/>
        </w:numPr>
        <w:tabs>
          <w:tab w:val="left" w:pos="4116"/>
        </w:tabs>
        <w:rPr>
          <w:lang w:val="es-VE"/>
        </w:rPr>
      </w:pPr>
      <w:r w:rsidRPr="00574E23">
        <w:rPr>
          <w:lang w:val="es-VE"/>
        </w:rPr>
        <w:t xml:space="preserve">El 17% de los proyectos están haciendo </w:t>
      </w:r>
      <w:r w:rsidRPr="00574E23">
        <w:rPr>
          <w:b/>
          <w:bCs/>
          <w:color w:val="87BE28"/>
          <w:lang w:val="es-VE"/>
        </w:rPr>
        <w:t>manejo de casos</w:t>
      </w:r>
      <w:r w:rsidRPr="00574E23">
        <w:rPr>
          <w:lang w:val="es-VE"/>
        </w:rPr>
        <w:t>, con un administrador de casos asignado y capacitado que trabaja directamente con el niño referido tanto en la escuela como a través de visitas domiciliarias.</w:t>
      </w:r>
    </w:p>
    <w:p w14:paraId="7CC4DAAB" w14:textId="0209F2E7" w:rsidR="00D03DB8" w:rsidRPr="00574E23" w:rsidRDefault="00D03DB8" w:rsidP="00574E23">
      <w:pPr>
        <w:pStyle w:val="Prrafodelista"/>
        <w:numPr>
          <w:ilvl w:val="0"/>
          <w:numId w:val="4"/>
        </w:numPr>
        <w:tabs>
          <w:tab w:val="left" w:pos="4116"/>
        </w:tabs>
        <w:rPr>
          <w:lang w:val="es-VE"/>
        </w:rPr>
      </w:pPr>
      <w:r w:rsidRPr="00574E23">
        <w:rPr>
          <w:lang w:val="es-VE"/>
        </w:rPr>
        <w:t xml:space="preserve">El 28% realiza actividades de </w:t>
      </w:r>
      <w:r w:rsidRPr="00574E23">
        <w:rPr>
          <w:b/>
          <w:bCs/>
          <w:color w:val="87BE28"/>
          <w:lang w:val="es-VE"/>
        </w:rPr>
        <w:t>protección infantil</w:t>
      </w:r>
      <w:r w:rsidRPr="00574E23">
        <w:rPr>
          <w:lang w:val="es-VE"/>
        </w:rPr>
        <w:t>.</w:t>
      </w:r>
    </w:p>
    <w:p w14:paraId="2705C2BD" w14:textId="229BD954" w:rsidR="00D03DB8" w:rsidRPr="00574E23" w:rsidRDefault="00D03DB8" w:rsidP="00574E23">
      <w:pPr>
        <w:pStyle w:val="Prrafodelista"/>
        <w:numPr>
          <w:ilvl w:val="0"/>
          <w:numId w:val="4"/>
        </w:numPr>
        <w:tabs>
          <w:tab w:val="left" w:pos="4116"/>
        </w:tabs>
        <w:rPr>
          <w:lang w:val="es-VE"/>
        </w:rPr>
      </w:pPr>
      <w:r w:rsidRPr="00574E23">
        <w:rPr>
          <w:lang w:val="es-VE"/>
        </w:rPr>
        <w:t xml:space="preserve">El 15% está realizando actividades del </w:t>
      </w:r>
      <w:r w:rsidRPr="00574E23">
        <w:rPr>
          <w:b/>
          <w:bCs/>
          <w:color w:val="87BE28"/>
          <w:lang w:val="es-VE"/>
        </w:rPr>
        <w:t>Código de conducta</w:t>
      </w:r>
      <w:r w:rsidRPr="00574E23">
        <w:rPr>
          <w:lang w:val="es-VE"/>
        </w:rPr>
        <w:t>, que generalmente destacan cuestiones de castigo corporal / disciplina positiva, inclusión, VG / PSEA y otros temas relacionados con la protección infantil y la salvaguardia infantil</w:t>
      </w:r>
    </w:p>
    <w:p w14:paraId="24496EF0" w14:textId="0A2E6E31" w:rsidR="00D03DB8" w:rsidRDefault="00D03DB8" w:rsidP="00D03DB8">
      <w:pPr>
        <w:tabs>
          <w:tab w:val="left" w:pos="4116"/>
        </w:tabs>
        <w:rPr>
          <w:i/>
          <w:iCs/>
          <w:lang w:val="es-VE"/>
        </w:rPr>
      </w:pPr>
      <w:r w:rsidRPr="00574E23">
        <w:rPr>
          <w:i/>
          <w:iCs/>
          <w:lang w:val="es-VE"/>
        </w:rPr>
        <w:t xml:space="preserve">“La UE aboga por que los sistemas educativos den prioridad a la protección en todos los niveles. En apoyo de este enfoque, la DG ECHO apoya proyectos que buscan poner fin a los ataques a la educación, incorpora el apoyo psicosocial </w:t>
      </w:r>
      <w:r w:rsidRPr="00574E23">
        <w:rPr>
          <w:i/>
          <w:iCs/>
          <w:lang w:val="es-VE"/>
        </w:rPr>
        <w:lastRenderedPageBreak/>
        <w:t>(PSS) y el aprendizaje social y emocional (SEL), previene y responde a la violencia de género relacionada con la escuela (SRGBV) y promueve vínculos entre sectores para fortalecer los marcos de protección infantil "</w:t>
      </w:r>
    </w:p>
    <w:p w14:paraId="32460A6B" w14:textId="77777777" w:rsidR="00574E23" w:rsidRPr="00574E23" w:rsidRDefault="00574E23" w:rsidP="00D03DB8">
      <w:pPr>
        <w:tabs>
          <w:tab w:val="left" w:pos="4116"/>
        </w:tabs>
        <w:rPr>
          <w:i/>
          <w:iCs/>
          <w:lang w:val="es-VE"/>
        </w:rPr>
      </w:pPr>
    </w:p>
    <w:p w14:paraId="3031BCEA" w14:textId="77777777" w:rsidR="00D03DB8" w:rsidRPr="00574E23" w:rsidRDefault="00D03DB8" w:rsidP="00D03DB8">
      <w:pPr>
        <w:tabs>
          <w:tab w:val="left" w:pos="4116"/>
        </w:tabs>
        <w:rPr>
          <w:b/>
          <w:color w:val="87BE28"/>
          <w:lang w:val="es-VE"/>
        </w:rPr>
      </w:pPr>
      <w:r w:rsidRPr="00574E23">
        <w:rPr>
          <w:b/>
          <w:color w:val="87BE28"/>
          <w:lang w:val="es-VE"/>
        </w:rPr>
        <w:t>Anexo 10: Ejemplo de criterios de investigación para fichas de proyectos conjuntos</w:t>
      </w:r>
    </w:p>
    <w:p w14:paraId="7F291AAC" w14:textId="77777777" w:rsidR="00D03DB8" w:rsidRPr="005A2103" w:rsidRDefault="00D03DB8" w:rsidP="00D03DB8">
      <w:pPr>
        <w:tabs>
          <w:tab w:val="left" w:pos="4116"/>
        </w:tabs>
        <w:rPr>
          <w:lang w:val="es-VE"/>
        </w:rPr>
      </w:pPr>
      <w:r w:rsidRPr="005A2103">
        <w:rPr>
          <w:lang w:val="es-VE"/>
        </w:rPr>
        <w:t>Las hojas de proyectos multisectoriales pueden crear desafíos durante la investigación de antecedentes. Por ejemplo, cada grupo normalmente tendría sus propios comités de revisión, que en ocasiones podrían tener comentarios diferentes e incluso contradictorios. Convocar ambos grupos (coordinadores y comités de revisión) también puede ser un desafío logístico.</w:t>
      </w:r>
    </w:p>
    <w:p w14:paraId="66F12521" w14:textId="77777777" w:rsidR="00D03DB8" w:rsidRPr="00D03DB8" w:rsidRDefault="00D03DB8" w:rsidP="00D03DB8">
      <w:pPr>
        <w:tabs>
          <w:tab w:val="left" w:pos="4116"/>
        </w:tabs>
        <w:rPr>
          <w:lang w:val="es-VE"/>
        </w:rPr>
      </w:pPr>
      <w:r w:rsidRPr="005A2103">
        <w:rPr>
          <w:lang w:val="es-VE"/>
        </w:rPr>
        <w:t xml:space="preserve">Adoptar un enfoque proactivo de la colaboración en proyectos multisectoriales es importante y puede facilitar una mayor (o incluso obligatoria) integración intersectorial. </w:t>
      </w:r>
      <w:r w:rsidRPr="00D03DB8">
        <w:rPr>
          <w:lang w:val="es-VE"/>
        </w:rPr>
        <w:t>Algunos consejos para la colaboración en la investigación de antecedentes de proyectos:</w:t>
      </w:r>
    </w:p>
    <w:p w14:paraId="4C2A4B83" w14:textId="37192A66" w:rsidR="00D03DB8" w:rsidRPr="00574E23" w:rsidRDefault="00D03DB8" w:rsidP="00574E23">
      <w:pPr>
        <w:pStyle w:val="Prrafodelista"/>
        <w:numPr>
          <w:ilvl w:val="0"/>
          <w:numId w:val="4"/>
        </w:numPr>
        <w:tabs>
          <w:tab w:val="left" w:pos="4116"/>
        </w:tabs>
        <w:rPr>
          <w:lang w:val="es-VE"/>
        </w:rPr>
      </w:pPr>
      <w:r w:rsidRPr="00574E23">
        <w:rPr>
          <w:lang w:val="es-VE"/>
        </w:rPr>
        <w:t>Considerar comités de revisión conjuntos de CP-EiE</w:t>
      </w:r>
    </w:p>
    <w:p w14:paraId="0D9FC958" w14:textId="480D1B61" w:rsidR="00D03DB8" w:rsidRPr="00574E23" w:rsidRDefault="00D03DB8" w:rsidP="00574E23">
      <w:pPr>
        <w:pStyle w:val="Prrafodelista"/>
        <w:numPr>
          <w:ilvl w:val="0"/>
          <w:numId w:val="4"/>
        </w:numPr>
        <w:tabs>
          <w:tab w:val="left" w:pos="4116"/>
        </w:tabs>
        <w:rPr>
          <w:lang w:val="es-VE"/>
        </w:rPr>
      </w:pPr>
      <w:r w:rsidRPr="00574E23">
        <w:rPr>
          <w:lang w:val="es-VE"/>
        </w:rPr>
        <w:t>Considere la posibilidad de examinar criterios que faciliten o requieran una mayor integración CP-EiE, ejemplos a continuación:</w:t>
      </w:r>
    </w:p>
    <w:tbl>
      <w:tblPr>
        <w:tblStyle w:val="Tablaconcuadrcula"/>
        <w:tblW w:w="0" w:type="auto"/>
        <w:tblBorders>
          <w:top w:val="single" w:sz="12" w:space="0" w:color="87BE28"/>
          <w:left w:val="single" w:sz="12" w:space="0" w:color="87BE28"/>
          <w:bottom w:val="single" w:sz="12" w:space="0" w:color="87BE28"/>
          <w:right w:val="single" w:sz="12" w:space="0" w:color="87BE28"/>
          <w:insideH w:val="single" w:sz="12" w:space="0" w:color="87BE28"/>
          <w:insideV w:val="single" w:sz="12" w:space="0" w:color="87BE28"/>
        </w:tblBorders>
        <w:tblLook w:val="04A0" w:firstRow="1" w:lastRow="0" w:firstColumn="1" w:lastColumn="0" w:noHBand="0" w:noVBand="1"/>
      </w:tblPr>
      <w:tblGrid>
        <w:gridCol w:w="704"/>
        <w:gridCol w:w="9913"/>
      </w:tblGrid>
      <w:tr w:rsidR="00D03DB8" w:rsidRPr="00D03DB8" w14:paraId="667365C3" w14:textId="77777777" w:rsidTr="0044760E">
        <w:trPr>
          <w:cantSplit/>
          <w:trHeight w:val="1134"/>
        </w:trPr>
        <w:tc>
          <w:tcPr>
            <w:tcW w:w="704" w:type="dxa"/>
            <w:shd w:val="clear" w:color="auto" w:fill="87BE28"/>
            <w:textDirection w:val="btLr"/>
          </w:tcPr>
          <w:p w14:paraId="45FBE5E6" w14:textId="77777777" w:rsidR="00D03DB8" w:rsidRPr="000F5075" w:rsidRDefault="00D03DB8" w:rsidP="0044760E">
            <w:pPr>
              <w:pStyle w:val="Default"/>
              <w:ind w:left="113" w:right="113"/>
              <w:jc w:val="center"/>
              <w:rPr>
                <w:b/>
                <w:bCs/>
                <w:color w:val="FFFFFF" w:themeColor="background1"/>
                <w:lang w:val="en-GB"/>
              </w:rPr>
            </w:pPr>
            <w:r w:rsidRPr="00574E23">
              <w:rPr>
                <w:b/>
                <w:bCs/>
                <w:color w:val="FFFFFF" w:themeColor="background1"/>
                <w:lang w:val="es-VE"/>
              </w:rPr>
              <w:t>Organizativo</w:t>
            </w:r>
          </w:p>
        </w:tc>
        <w:tc>
          <w:tcPr>
            <w:tcW w:w="9913" w:type="dxa"/>
          </w:tcPr>
          <w:p w14:paraId="6BAF737B" w14:textId="0E1E661C" w:rsidR="00D03DB8" w:rsidRPr="00D03DB8" w:rsidRDefault="00D03DB8" w:rsidP="00574E23">
            <w:pPr>
              <w:pStyle w:val="Prrafodelista"/>
              <w:numPr>
                <w:ilvl w:val="0"/>
                <w:numId w:val="4"/>
              </w:numPr>
              <w:ind w:left="360"/>
              <w:rPr>
                <w:rFonts w:cstheme="minorHAnsi"/>
                <w:sz w:val="20"/>
                <w:szCs w:val="20"/>
                <w:lang w:val="es-VE"/>
              </w:rPr>
            </w:pPr>
            <w:r w:rsidRPr="00D03DB8">
              <w:rPr>
                <w:rFonts w:cstheme="minorHAnsi"/>
                <w:sz w:val="20"/>
                <w:szCs w:val="20"/>
                <w:lang w:val="es-VE"/>
              </w:rPr>
              <w:t>La organización solicitante tiene la capacidad técnica y operativa para establecer un proyecto conjunto EiE/CP</w:t>
            </w:r>
          </w:p>
          <w:p w14:paraId="44EE2819" w14:textId="61097C3D" w:rsidR="00D03DB8" w:rsidRPr="00D03DB8" w:rsidRDefault="00D03DB8" w:rsidP="00574E23">
            <w:pPr>
              <w:pStyle w:val="Prrafodelista"/>
              <w:numPr>
                <w:ilvl w:val="0"/>
                <w:numId w:val="4"/>
              </w:numPr>
              <w:ind w:left="360"/>
              <w:rPr>
                <w:rFonts w:cstheme="minorHAnsi"/>
                <w:sz w:val="20"/>
                <w:szCs w:val="20"/>
                <w:lang w:val="es-VE"/>
              </w:rPr>
            </w:pPr>
            <w:r w:rsidRPr="00D03DB8">
              <w:rPr>
                <w:rFonts w:cstheme="minorHAnsi"/>
                <w:sz w:val="20"/>
                <w:szCs w:val="20"/>
                <w:lang w:val="es-VE"/>
              </w:rPr>
              <w:t>La organización cuenta con una política de protección y un código de conducta.</w:t>
            </w:r>
          </w:p>
          <w:p w14:paraId="7F852F01" w14:textId="22307B1F" w:rsidR="00D03DB8" w:rsidRPr="00D03DB8" w:rsidRDefault="00D03DB8" w:rsidP="00574E23">
            <w:pPr>
              <w:pStyle w:val="Prrafodelista"/>
              <w:numPr>
                <w:ilvl w:val="0"/>
                <w:numId w:val="4"/>
              </w:numPr>
              <w:ind w:left="360"/>
              <w:rPr>
                <w:rFonts w:cstheme="minorHAnsi"/>
                <w:sz w:val="20"/>
                <w:szCs w:val="20"/>
                <w:lang w:val="es-VE"/>
              </w:rPr>
            </w:pPr>
            <w:r w:rsidRPr="00D03DB8">
              <w:rPr>
                <w:rFonts w:cstheme="minorHAnsi"/>
                <w:sz w:val="20"/>
                <w:szCs w:val="20"/>
                <w:lang w:val="es-VE"/>
              </w:rPr>
              <w:t>La organización ha estado implementando programas relacionados con la protección/educación y ha presentado informes al Clúster a través de las 4W durante un mínimo de los últimos tres meses y ha demostrado tener experiencia en la implementación de actividades similares</w:t>
            </w:r>
          </w:p>
          <w:p w14:paraId="33693718" w14:textId="7CD34658" w:rsidR="00D03DB8" w:rsidRPr="00D03DB8" w:rsidRDefault="00D03DB8" w:rsidP="00574E23">
            <w:pPr>
              <w:pStyle w:val="Prrafodelista"/>
              <w:numPr>
                <w:ilvl w:val="0"/>
                <w:numId w:val="9"/>
              </w:numPr>
              <w:spacing w:after="160"/>
              <w:ind w:left="360"/>
              <w:rPr>
                <w:rFonts w:cstheme="minorHAnsi"/>
                <w:sz w:val="20"/>
                <w:szCs w:val="20"/>
                <w:lang w:val="es-VE"/>
              </w:rPr>
            </w:pPr>
            <w:r w:rsidRPr="00D03DB8">
              <w:rPr>
                <w:rFonts w:cstheme="minorHAnsi"/>
                <w:sz w:val="20"/>
                <w:szCs w:val="20"/>
                <w:lang w:val="es-VE"/>
              </w:rPr>
              <w:t>De acuerdo con los compromisos de Grand Bargain, priorizar la consideración de las ONG locale</w:t>
            </w:r>
            <w:r w:rsidR="00574E23">
              <w:rPr>
                <w:rFonts w:cstheme="minorHAnsi"/>
                <w:sz w:val="20"/>
                <w:szCs w:val="20"/>
                <w:lang w:val="es-VE"/>
              </w:rPr>
              <w:t>s</w:t>
            </w:r>
            <w:r w:rsidRPr="00D03DB8">
              <w:rPr>
                <w:rFonts w:cstheme="minorHAnsi"/>
                <w:sz w:val="20"/>
                <w:szCs w:val="20"/>
                <w:lang w:val="es-VE"/>
              </w:rPr>
              <w:t>/nacionales</w:t>
            </w:r>
          </w:p>
        </w:tc>
      </w:tr>
      <w:tr w:rsidR="00D03DB8" w:rsidRPr="00D03DB8" w14:paraId="1F51AB65" w14:textId="77777777" w:rsidTr="0044760E">
        <w:trPr>
          <w:cantSplit/>
          <w:trHeight w:val="1134"/>
        </w:trPr>
        <w:tc>
          <w:tcPr>
            <w:tcW w:w="704" w:type="dxa"/>
            <w:shd w:val="clear" w:color="auto" w:fill="87BE28"/>
            <w:textDirection w:val="btLr"/>
          </w:tcPr>
          <w:p w14:paraId="7413E611" w14:textId="77777777" w:rsidR="00D03DB8" w:rsidRPr="000F5075" w:rsidRDefault="00D03DB8" w:rsidP="0044760E">
            <w:pPr>
              <w:pStyle w:val="Default"/>
              <w:ind w:left="113" w:right="113"/>
              <w:jc w:val="center"/>
              <w:rPr>
                <w:b/>
                <w:bCs/>
                <w:color w:val="FFFFFF" w:themeColor="background1"/>
                <w:lang w:val="en-GB"/>
              </w:rPr>
            </w:pPr>
            <w:r w:rsidRPr="00C36C3E">
              <w:rPr>
                <w:b/>
                <w:bCs/>
                <w:color w:val="FFFFFF" w:themeColor="background1"/>
                <w:lang w:val="en-GB"/>
              </w:rPr>
              <w:t>Proyecto - Técnico</w:t>
            </w:r>
          </w:p>
        </w:tc>
        <w:tc>
          <w:tcPr>
            <w:tcW w:w="9913" w:type="dxa"/>
          </w:tcPr>
          <w:p w14:paraId="2DE28262" w14:textId="213A0EAA" w:rsidR="00D03DB8" w:rsidRPr="00A24523" w:rsidRDefault="00D03DB8" w:rsidP="00A24523">
            <w:pPr>
              <w:pStyle w:val="Prrafodelista"/>
              <w:numPr>
                <w:ilvl w:val="0"/>
                <w:numId w:val="1"/>
              </w:numPr>
              <w:ind w:left="454"/>
              <w:rPr>
                <w:rFonts w:cstheme="minorHAnsi"/>
                <w:sz w:val="20"/>
                <w:szCs w:val="20"/>
                <w:lang w:val="es-VE"/>
              </w:rPr>
            </w:pPr>
            <w:r w:rsidRPr="005A2103">
              <w:rPr>
                <w:rFonts w:cstheme="minorHAnsi"/>
                <w:sz w:val="20"/>
                <w:szCs w:val="20"/>
                <w:lang w:val="es-VE"/>
              </w:rPr>
              <w:t>Para proyectos de un solo sector, acordar actividades intersectoriales mínimas para usar como criterio de investigación.</w:t>
            </w:r>
            <w:r w:rsidR="00A24523">
              <w:rPr>
                <w:rFonts w:cstheme="minorHAnsi"/>
                <w:sz w:val="20"/>
                <w:szCs w:val="20"/>
                <w:lang w:val="es-VE"/>
              </w:rPr>
              <w:t xml:space="preserve"> </w:t>
            </w:r>
            <w:r w:rsidRPr="00476938">
              <w:rPr>
                <w:rFonts w:cstheme="minorHAnsi"/>
                <w:i/>
                <w:iCs/>
                <w:sz w:val="20"/>
                <w:szCs w:val="20"/>
                <w:lang w:val="es-VE"/>
              </w:rPr>
              <w:t>(Por ejemplo, el MHPSS debe integrarse y discutirse y acordarse con el subgrupo de protección infantil y el grupo de coordinación de MHPSS, si está presente, antes de la presentación del proyecto).</w:t>
            </w:r>
          </w:p>
          <w:p w14:paraId="65B0AAF0" w14:textId="419369DB" w:rsidR="00D03DB8" w:rsidRPr="00D03DB8" w:rsidRDefault="00D03DB8" w:rsidP="00D03DB8">
            <w:pPr>
              <w:pStyle w:val="Prrafodelista"/>
              <w:numPr>
                <w:ilvl w:val="0"/>
                <w:numId w:val="1"/>
              </w:numPr>
              <w:ind w:left="454"/>
              <w:rPr>
                <w:rFonts w:cstheme="minorHAnsi"/>
                <w:sz w:val="20"/>
                <w:szCs w:val="20"/>
                <w:lang w:val="es-VE"/>
              </w:rPr>
            </w:pPr>
            <w:r w:rsidRPr="00D03DB8">
              <w:rPr>
                <w:rFonts w:cstheme="minorHAnsi"/>
                <w:sz w:val="20"/>
                <w:szCs w:val="20"/>
                <w:lang w:val="es-VE"/>
              </w:rPr>
              <w:t>La propuesta identifica claramente las necesidades de EiE y CP que enfrentan las niñas y los niños y cómo abordarl</w:t>
            </w:r>
            <w:r w:rsidR="00476938">
              <w:rPr>
                <w:rFonts w:cstheme="minorHAnsi"/>
                <w:sz w:val="20"/>
                <w:szCs w:val="20"/>
                <w:lang w:val="es-VE"/>
              </w:rPr>
              <w:t>e</w:t>
            </w:r>
            <w:r w:rsidRPr="00D03DB8">
              <w:rPr>
                <w:rFonts w:cstheme="minorHAnsi"/>
                <w:sz w:val="20"/>
                <w:szCs w:val="20"/>
                <w:lang w:val="es-VE"/>
              </w:rPr>
              <w:t>s intersectorialmente</w:t>
            </w:r>
          </w:p>
          <w:p w14:paraId="459AA203" w14:textId="6A6DCEBF" w:rsidR="00D03DB8" w:rsidRPr="005A2103" w:rsidRDefault="00D03DB8" w:rsidP="00D03DB8">
            <w:pPr>
              <w:pStyle w:val="Prrafodelista"/>
              <w:numPr>
                <w:ilvl w:val="0"/>
                <w:numId w:val="1"/>
              </w:numPr>
              <w:ind w:left="454"/>
              <w:rPr>
                <w:rFonts w:cstheme="minorHAnsi"/>
                <w:sz w:val="20"/>
                <w:szCs w:val="20"/>
                <w:lang w:val="es-VE"/>
              </w:rPr>
            </w:pPr>
            <w:r w:rsidRPr="005A2103">
              <w:rPr>
                <w:rFonts w:cstheme="minorHAnsi"/>
                <w:sz w:val="20"/>
                <w:szCs w:val="20"/>
                <w:lang w:val="es-VE"/>
              </w:rPr>
              <w:t>La propuesta está en consonancia con los Estándares Mínimos de Protección Infantil/Estándares INEE. La organización también necesita hacer referencia y demostrar su comprensión de las pautas globales y contextualizadas relevantes para cada actividad que van a implementar.</w:t>
            </w:r>
          </w:p>
          <w:p w14:paraId="58462B59" w14:textId="78826689" w:rsidR="00D03DB8" w:rsidRPr="00D03DB8" w:rsidRDefault="00D03DB8" w:rsidP="00D03DB8">
            <w:pPr>
              <w:pStyle w:val="Prrafodelista"/>
              <w:numPr>
                <w:ilvl w:val="0"/>
                <w:numId w:val="1"/>
              </w:numPr>
              <w:ind w:left="454"/>
              <w:rPr>
                <w:rFonts w:cstheme="minorHAnsi"/>
                <w:sz w:val="20"/>
                <w:szCs w:val="20"/>
                <w:lang w:val="es-VE"/>
              </w:rPr>
            </w:pPr>
            <w:r w:rsidRPr="00D03DB8">
              <w:rPr>
                <w:rFonts w:cstheme="minorHAnsi"/>
                <w:sz w:val="20"/>
                <w:szCs w:val="20"/>
                <w:lang w:val="es-VE"/>
              </w:rPr>
              <w:t>La propuesta describe claramente la complementariedad CP/EiE en las actividades propuestas (puede considerar complementariedades técnicas y operativas)</w:t>
            </w:r>
          </w:p>
          <w:p w14:paraId="16F9E281" w14:textId="172703D3" w:rsidR="00D03DB8" w:rsidRPr="005A2103" w:rsidRDefault="00D03DB8" w:rsidP="00D03DB8">
            <w:pPr>
              <w:pStyle w:val="Prrafodelista"/>
              <w:numPr>
                <w:ilvl w:val="0"/>
                <w:numId w:val="1"/>
              </w:numPr>
              <w:ind w:left="454"/>
              <w:rPr>
                <w:rFonts w:cstheme="minorHAnsi"/>
                <w:sz w:val="20"/>
                <w:szCs w:val="20"/>
                <w:lang w:val="es-VE"/>
              </w:rPr>
            </w:pPr>
            <w:r w:rsidRPr="005A2103">
              <w:rPr>
                <w:rFonts w:cstheme="minorHAnsi"/>
                <w:sz w:val="20"/>
                <w:szCs w:val="20"/>
                <w:lang w:val="es-VE"/>
              </w:rPr>
              <w:t>La propuesta define claramente a los beneficiarios objetivo, incluida la edad, las vulnerabilidades específicas y el desglose por género, considerando qué actividades son el objetivo y coordinado por qué sector.</w:t>
            </w:r>
          </w:p>
          <w:p w14:paraId="0B733B4B" w14:textId="69BFFDC6" w:rsidR="00D03DB8" w:rsidRPr="00D03DB8" w:rsidRDefault="00D03DB8" w:rsidP="00D03DB8">
            <w:pPr>
              <w:pStyle w:val="Prrafodelista"/>
              <w:numPr>
                <w:ilvl w:val="0"/>
                <w:numId w:val="1"/>
              </w:numPr>
              <w:ind w:left="454"/>
              <w:rPr>
                <w:rFonts w:cstheme="minorHAnsi"/>
                <w:sz w:val="20"/>
                <w:szCs w:val="20"/>
                <w:lang w:val="es-VE"/>
              </w:rPr>
            </w:pPr>
            <w:r w:rsidRPr="00D03DB8">
              <w:rPr>
                <w:rFonts w:cstheme="minorHAnsi"/>
                <w:sz w:val="20"/>
                <w:szCs w:val="20"/>
                <w:lang w:val="es-VE"/>
              </w:rPr>
              <w:t>La propuesta describe claramente cómo el proyecto promoverá la derivación de niños vulnerables y sus cuidadores. La propuesta explica claramente cómo el proyecto garantizará que los niños</w:t>
            </w:r>
            <w:r w:rsidR="00DB545D">
              <w:rPr>
                <w:rFonts w:cstheme="minorHAnsi"/>
                <w:sz w:val="20"/>
                <w:szCs w:val="20"/>
                <w:lang w:val="es-VE"/>
              </w:rPr>
              <w:t xml:space="preserve"> y</w:t>
            </w:r>
            <w:r w:rsidRPr="00D03DB8">
              <w:rPr>
                <w:rFonts w:cstheme="minorHAnsi"/>
                <w:sz w:val="20"/>
                <w:szCs w:val="20"/>
                <w:lang w:val="es-VE"/>
              </w:rPr>
              <w:t xml:space="preserve"> niñas vulnerables </w:t>
            </w:r>
            <w:r w:rsidR="00DB545D">
              <w:rPr>
                <w:rFonts w:cstheme="minorHAnsi"/>
                <w:sz w:val="20"/>
                <w:szCs w:val="20"/>
                <w:lang w:val="es-VE"/>
              </w:rPr>
              <w:t>además de</w:t>
            </w:r>
            <w:r w:rsidRPr="00D03DB8">
              <w:rPr>
                <w:rFonts w:cstheme="minorHAnsi"/>
                <w:sz w:val="20"/>
                <w:szCs w:val="20"/>
                <w:lang w:val="es-VE"/>
              </w:rPr>
              <w:t xml:space="preserve"> sus cuidadores puedan acceder a servicios multisectoriales a través de referencias internas y externas.</w:t>
            </w:r>
          </w:p>
          <w:p w14:paraId="5EB66A36" w14:textId="1FE0BF76" w:rsidR="00D03DB8" w:rsidRPr="00D03DB8" w:rsidRDefault="00D03DB8" w:rsidP="00D03DB8">
            <w:pPr>
              <w:pStyle w:val="Prrafodelista"/>
              <w:numPr>
                <w:ilvl w:val="0"/>
                <w:numId w:val="1"/>
              </w:numPr>
              <w:ind w:left="454"/>
              <w:rPr>
                <w:rFonts w:cstheme="minorHAnsi"/>
                <w:sz w:val="20"/>
                <w:szCs w:val="20"/>
                <w:lang w:val="es-VE"/>
              </w:rPr>
            </w:pPr>
            <w:r w:rsidRPr="00D03DB8">
              <w:rPr>
                <w:rFonts w:cstheme="minorHAnsi"/>
                <w:sz w:val="20"/>
                <w:szCs w:val="20"/>
                <w:lang w:val="es-VE"/>
              </w:rPr>
              <w:t>La propuesta describe claramente cómo el proyecto identificará y llegará a los niños más vulnerables en las ubicaciones objetivo y describirá los desafíos potenciales y las medidas de mitigación relacionadas con llegar a los más vulnerables.</w:t>
            </w:r>
          </w:p>
          <w:p w14:paraId="17157BC7" w14:textId="6CE6759D" w:rsidR="00D03DB8" w:rsidRPr="00D03DB8" w:rsidRDefault="00D03DB8" w:rsidP="00D03DB8">
            <w:pPr>
              <w:pStyle w:val="Prrafodelista"/>
              <w:numPr>
                <w:ilvl w:val="0"/>
                <w:numId w:val="1"/>
              </w:numPr>
              <w:ind w:left="454"/>
              <w:rPr>
                <w:rFonts w:cstheme="minorHAnsi"/>
                <w:sz w:val="20"/>
                <w:szCs w:val="20"/>
                <w:lang w:val="es-VE"/>
              </w:rPr>
            </w:pPr>
            <w:r w:rsidRPr="00D03DB8">
              <w:rPr>
                <w:rFonts w:cstheme="minorHAnsi"/>
                <w:sz w:val="20"/>
                <w:szCs w:val="20"/>
                <w:lang w:val="es-VE"/>
              </w:rPr>
              <w:t>La propuesta describe claramente los servicios específicos brindados para cada tipo de vulnerabilidad infantil que ofrece el proyecto</w:t>
            </w:r>
          </w:p>
          <w:p w14:paraId="2E3A32D2" w14:textId="509BA1CE" w:rsidR="00D03DB8" w:rsidRPr="00D03DB8" w:rsidRDefault="00D03DB8" w:rsidP="00D03DB8">
            <w:pPr>
              <w:pStyle w:val="Prrafodelista"/>
              <w:numPr>
                <w:ilvl w:val="0"/>
                <w:numId w:val="1"/>
              </w:numPr>
              <w:ind w:left="454"/>
              <w:rPr>
                <w:rFonts w:cstheme="minorHAnsi"/>
                <w:sz w:val="20"/>
                <w:szCs w:val="20"/>
                <w:lang w:val="es-VE"/>
              </w:rPr>
            </w:pPr>
            <w:r w:rsidRPr="00D03DB8">
              <w:rPr>
                <w:rFonts w:cstheme="minorHAnsi"/>
                <w:sz w:val="20"/>
                <w:szCs w:val="20"/>
                <w:lang w:val="es-VE"/>
              </w:rPr>
              <w:t>La propuesta describe claramente qué personal tienen disponible para proporcionar los servicios, qué personal capacitarán y qué personal contratarán; al tiempo que garantiza puentes entre la educación y la protección infantil, garantiza que el personal especializado siga estando a cargo de los servicios especializados</w:t>
            </w:r>
          </w:p>
          <w:p w14:paraId="09BC7E9B" w14:textId="77777777" w:rsidR="00D03DB8" w:rsidRPr="00D03DB8" w:rsidRDefault="00D03DB8" w:rsidP="00D03DB8">
            <w:pPr>
              <w:pStyle w:val="Prrafodelista"/>
              <w:numPr>
                <w:ilvl w:val="0"/>
                <w:numId w:val="1"/>
              </w:numPr>
              <w:spacing w:after="160"/>
              <w:ind w:left="454"/>
              <w:rPr>
                <w:rFonts w:cstheme="minorHAnsi"/>
                <w:sz w:val="20"/>
                <w:szCs w:val="20"/>
                <w:lang w:val="es-VE"/>
              </w:rPr>
            </w:pPr>
            <w:r w:rsidRPr="00D03DB8">
              <w:rPr>
                <w:rFonts w:cstheme="minorHAnsi"/>
                <w:sz w:val="20"/>
                <w:szCs w:val="20"/>
                <w:lang w:val="es-VE"/>
              </w:rPr>
              <w:t xml:space="preserve">La estrategia de salida está en su lugar, considerando cambiar algunas actividades de CP a EiE cuando sea necesario </w:t>
            </w:r>
          </w:p>
        </w:tc>
      </w:tr>
    </w:tbl>
    <w:p w14:paraId="1B29062E" w14:textId="77777777" w:rsidR="00D03DB8" w:rsidRPr="00D03DB8" w:rsidRDefault="00D03DB8" w:rsidP="00D03DB8">
      <w:pPr>
        <w:tabs>
          <w:tab w:val="left" w:pos="4116"/>
        </w:tabs>
        <w:rPr>
          <w:lang w:val="es-VE"/>
        </w:rPr>
      </w:pPr>
    </w:p>
    <w:sectPr w:rsidR="00D03DB8" w:rsidRPr="00D03DB8" w:rsidSect="00D03DB8">
      <w:head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C3B50E" w14:textId="77777777" w:rsidR="00125E8E" w:rsidRDefault="00125E8E" w:rsidP="00D03DB8">
      <w:pPr>
        <w:spacing w:after="0" w:line="240" w:lineRule="auto"/>
      </w:pPr>
      <w:r>
        <w:separator/>
      </w:r>
    </w:p>
  </w:endnote>
  <w:endnote w:type="continuationSeparator" w:id="0">
    <w:p w14:paraId="1B747BFB" w14:textId="77777777" w:rsidR="00125E8E" w:rsidRDefault="00125E8E" w:rsidP="00D03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C5A657" w14:textId="77777777" w:rsidR="00125E8E" w:rsidRDefault="00125E8E" w:rsidP="00D03DB8">
      <w:pPr>
        <w:spacing w:after="0" w:line="240" w:lineRule="auto"/>
      </w:pPr>
      <w:r>
        <w:separator/>
      </w:r>
    </w:p>
  </w:footnote>
  <w:footnote w:type="continuationSeparator" w:id="0">
    <w:p w14:paraId="001452AB" w14:textId="77777777" w:rsidR="00125E8E" w:rsidRDefault="00125E8E" w:rsidP="00D03D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5FFB8" w14:textId="4B625E11" w:rsidR="00D03DB8" w:rsidRPr="00D03DB8" w:rsidRDefault="00D03DB8" w:rsidP="00D03DB8">
    <w:pPr>
      <w:jc w:val="center"/>
      <w:rPr>
        <w:sz w:val="28"/>
        <w:szCs w:val="28"/>
        <w:u w:val="single"/>
      </w:rPr>
    </w:pPr>
    <w:r w:rsidRPr="00BB34F7">
      <w:rPr>
        <w:noProof/>
        <w:sz w:val="28"/>
        <w:szCs w:val="28"/>
        <w:u w:val="single"/>
        <w:lang w:val="es-ES" w:eastAsia="es-ES"/>
      </w:rPr>
      <w:drawing>
        <wp:anchor distT="0" distB="0" distL="114300" distR="114300" simplePos="0" relativeHeight="251659264" behindDoc="0" locked="0" layoutInCell="1" allowOverlap="1" wp14:anchorId="6B87D636" wp14:editId="5531C602">
          <wp:simplePos x="0" y="0"/>
          <wp:positionH relativeFrom="column">
            <wp:posOffset>6468745</wp:posOffset>
          </wp:positionH>
          <wp:positionV relativeFrom="paragraph">
            <wp:posOffset>-17722</wp:posOffset>
          </wp:positionV>
          <wp:extent cx="735330" cy="266065"/>
          <wp:effectExtent l="0" t="0" r="7620" b="635"/>
          <wp:wrapNone/>
          <wp:docPr id="19" name="Picture 4"/>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330" cy="266065"/>
                  </a:xfrm>
                  <a:prstGeom prst="rect">
                    <a:avLst/>
                  </a:prstGeom>
                  <a:noFill/>
                </pic:spPr>
              </pic:pic>
            </a:graphicData>
          </a:graphic>
          <wp14:sizeRelH relativeFrom="page">
            <wp14:pctWidth>0</wp14:pctWidth>
          </wp14:sizeRelH>
          <wp14:sizeRelV relativeFrom="page">
            <wp14:pctHeight>0</wp14:pctHeight>
          </wp14:sizeRelV>
        </wp:anchor>
      </w:drawing>
    </w:r>
    <w:r w:rsidRPr="00BB34F7">
      <w:rPr>
        <w:noProof/>
        <w:sz w:val="28"/>
        <w:szCs w:val="28"/>
        <w:u w:val="single"/>
        <w:lang w:val="es-ES" w:eastAsia="es-ES"/>
      </w:rPr>
      <w:drawing>
        <wp:anchor distT="0" distB="0" distL="114300" distR="114300" simplePos="0" relativeHeight="251660288" behindDoc="0" locked="0" layoutInCell="1" allowOverlap="1" wp14:anchorId="7186263F" wp14:editId="427631D4">
          <wp:simplePos x="0" y="0"/>
          <wp:positionH relativeFrom="column">
            <wp:posOffset>5688965</wp:posOffset>
          </wp:positionH>
          <wp:positionV relativeFrom="paragraph">
            <wp:posOffset>-123767</wp:posOffset>
          </wp:positionV>
          <wp:extent cx="707390" cy="472440"/>
          <wp:effectExtent l="0" t="0" r="0" b="3810"/>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07390" cy="472440"/>
                  </a:xfrm>
                  <a:prstGeom prst="rect">
                    <a:avLst/>
                  </a:prstGeom>
                </pic:spPr>
              </pic:pic>
            </a:graphicData>
          </a:graphic>
          <wp14:sizeRelH relativeFrom="page">
            <wp14:pctWidth>0</wp14:pctWidth>
          </wp14:sizeRelH>
          <wp14:sizeRelV relativeFrom="page">
            <wp14:pctHeight>0</wp14:pctHeight>
          </wp14:sizeRelV>
        </wp:anchor>
      </w:drawing>
    </w:r>
    <w:r w:rsidRPr="006B74FC">
      <w:rPr>
        <w:sz w:val="28"/>
        <w:szCs w:val="28"/>
        <w:u w:val="single"/>
      </w:rPr>
      <w:t>CP</w:t>
    </w:r>
    <w:r>
      <w:rPr>
        <w:sz w:val="28"/>
        <w:szCs w:val="28"/>
        <w:u w:val="single"/>
      </w:rPr>
      <w:t>-</w:t>
    </w:r>
    <w:r w:rsidRPr="006B74FC">
      <w:rPr>
        <w:sz w:val="28"/>
        <w:szCs w:val="28"/>
        <w:u w:val="single"/>
      </w:rPr>
      <w:t xml:space="preserve">EiE </w:t>
    </w:r>
    <w:r>
      <w:rPr>
        <w:sz w:val="28"/>
        <w:szCs w:val="28"/>
        <w:u w:val="single"/>
      </w:rPr>
      <w:t xml:space="preserve">Collaboration Framework </w:t>
    </w:r>
    <w:hyperlink r:id="rId3" w:history="1">
      <w:r w:rsidRPr="000A13FB">
        <w:rPr>
          <w:rStyle w:val="Hipervnculo"/>
          <w:sz w:val="28"/>
          <w:szCs w:val="28"/>
        </w:rPr>
        <w:t>package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5E27B1"/>
    <w:multiLevelType w:val="hybridMultilevel"/>
    <w:tmpl w:val="D21E682C"/>
    <w:lvl w:ilvl="0" w:tplc="6C4AF2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 w15:restartNumberingAfterBreak="0">
    <w:nsid w:val="11F50EA5"/>
    <w:multiLevelType w:val="hybridMultilevel"/>
    <w:tmpl w:val="EDE8A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524361"/>
    <w:multiLevelType w:val="hybridMultilevel"/>
    <w:tmpl w:val="99A26C92"/>
    <w:lvl w:ilvl="0" w:tplc="847044CA">
      <w:start w:val="1"/>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358E408E"/>
    <w:multiLevelType w:val="hybridMultilevel"/>
    <w:tmpl w:val="8392E164"/>
    <w:lvl w:ilvl="0" w:tplc="04090003">
      <w:start w:val="1"/>
      <w:numFmt w:val="bullet"/>
      <w:lvlText w:val="o"/>
      <w:lvlJc w:val="left"/>
      <w:pPr>
        <w:ind w:left="720" w:hanging="360"/>
      </w:pPr>
      <w:rPr>
        <w:rFonts w:ascii="Courier New" w:hAnsi="Courier New"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4" w15:restartNumberingAfterBreak="0">
    <w:nsid w:val="44096243"/>
    <w:multiLevelType w:val="hybridMultilevel"/>
    <w:tmpl w:val="ECDAE608"/>
    <w:lvl w:ilvl="0" w:tplc="6C4AF2AE">
      <w:numFmt w:val="bullet"/>
      <w:lvlText w:val="•"/>
      <w:lvlJc w:val="left"/>
      <w:pPr>
        <w:ind w:left="720" w:hanging="360"/>
      </w:pPr>
      <w:rPr>
        <w:rFonts w:ascii="Calibri" w:eastAsiaTheme="minorHAnsi" w:hAnsi="Calibri" w:cs="Calibri"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5" w15:restartNumberingAfterBreak="0">
    <w:nsid w:val="4F703637"/>
    <w:multiLevelType w:val="hybridMultilevel"/>
    <w:tmpl w:val="4A726DE8"/>
    <w:lvl w:ilvl="0" w:tplc="6C4AF2AE">
      <w:numFmt w:val="bullet"/>
      <w:lvlText w:val="•"/>
      <w:lvlJc w:val="left"/>
      <w:pPr>
        <w:ind w:left="720" w:hanging="360"/>
      </w:pPr>
      <w:rPr>
        <w:rFonts w:ascii="Calibri" w:eastAsiaTheme="minorHAnsi" w:hAnsi="Calibri" w:cs="Calibri"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6" w15:restartNumberingAfterBreak="0">
    <w:nsid w:val="514A3E36"/>
    <w:multiLevelType w:val="hybridMultilevel"/>
    <w:tmpl w:val="DBD41408"/>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7" w15:restartNumberingAfterBreak="0">
    <w:nsid w:val="61DF0096"/>
    <w:multiLevelType w:val="hybridMultilevel"/>
    <w:tmpl w:val="70B67166"/>
    <w:lvl w:ilvl="0" w:tplc="6C4AF2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8" w15:restartNumberingAfterBreak="0">
    <w:nsid w:val="6A0C190E"/>
    <w:multiLevelType w:val="hybridMultilevel"/>
    <w:tmpl w:val="2214C0DE"/>
    <w:lvl w:ilvl="0" w:tplc="6C4AF2AE">
      <w:numFmt w:val="bullet"/>
      <w:lvlText w:val="•"/>
      <w:lvlJc w:val="left"/>
      <w:pPr>
        <w:ind w:left="720" w:hanging="360"/>
      </w:pPr>
      <w:rPr>
        <w:rFonts w:ascii="Calibri" w:eastAsiaTheme="minorHAnsi" w:hAnsi="Calibri" w:cs="Calibri" w:hint="default"/>
      </w:rPr>
    </w:lvl>
    <w:lvl w:ilvl="1" w:tplc="A0E023A2">
      <w:numFmt w:val="bullet"/>
      <w:lvlText w:val=""/>
      <w:lvlJc w:val="left"/>
      <w:pPr>
        <w:ind w:left="1440" w:hanging="360"/>
      </w:pPr>
      <w:rPr>
        <w:rFonts w:ascii="Symbol" w:eastAsiaTheme="minorHAnsi" w:hAnsi="Symbol" w:cstheme="minorBidi"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8"/>
  </w:num>
  <w:num w:numId="5">
    <w:abstractNumId w:val="0"/>
  </w:num>
  <w:num w:numId="6">
    <w:abstractNumId w:val="3"/>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6F1"/>
    <w:rsid w:val="00125E8E"/>
    <w:rsid w:val="00360C5E"/>
    <w:rsid w:val="00437BCF"/>
    <w:rsid w:val="00476938"/>
    <w:rsid w:val="004D26F1"/>
    <w:rsid w:val="00574E23"/>
    <w:rsid w:val="006169E7"/>
    <w:rsid w:val="00923DD3"/>
    <w:rsid w:val="00A24523"/>
    <w:rsid w:val="00B7217F"/>
    <w:rsid w:val="00D03DB8"/>
    <w:rsid w:val="00DB545D"/>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C2FA2"/>
  <w15:chartTrackingRefBased/>
  <w15:docId w15:val="{CDD0FF88-EC4C-4AD1-B57A-5EC2E84D8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s-V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DB8"/>
    <w:rPr>
      <w:rFonts w:eastAsiaTheme="minorHAns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03D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03DB8"/>
    <w:rPr>
      <w:rFonts w:ascii="Arial" w:hAnsi="Arial" w:cs="Calibri"/>
      <w:lang w:eastAsia="es-VE"/>
    </w:rPr>
  </w:style>
  <w:style w:type="paragraph" w:styleId="Piedepgina">
    <w:name w:val="footer"/>
    <w:basedOn w:val="Normal"/>
    <w:link w:val="PiedepginaCar"/>
    <w:uiPriority w:val="99"/>
    <w:unhideWhenUsed/>
    <w:rsid w:val="00D03D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03DB8"/>
    <w:rPr>
      <w:rFonts w:ascii="Arial" w:hAnsi="Arial" w:cs="Calibri"/>
      <w:lang w:eastAsia="es-VE"/>
    </w:rPr>
  </w:style>
  <w:style w:type="character" w:styleId="Hipervnculo">
    <w:name w:val="Hyperlink"/>
    <w:basedOn w:val="Fuentedeprrafopredeter"/>
    <w:uiPriority w:val="99"/>
    <w:unhideWhenUsed/>
    <w:rsid w:val="00D03DB8"/>
    <w:rPr>
      <w:color w:val="0563C1" w:themeColor="hyperlink"/>
      <w:u w:val="single"/>
    </w:rPr>
  </w:style>
  <w:style w:type="paragraph" w:styleId="Prrafodelista">
    <w:name w:val="List Paragraph"/>
    <w:basedOn w:val="Normal"/>
    <w:uiPriority w:val="34"/>
    <w:qFormat/>
    <w:rsid w:val="00D03DB8"/>
    <w:pPr>
      <w:ind w:left="720"/>
      <w:contextualSpacing/>
    </w:pPr>
  </w:style>
  <w:style w:type="table" w:styleId="Tablaconcuadrcula">
    <w:name w:val="Table Grid"/>
    <w:basedOn w:val="Tablanormal"/>
    <w:uiPriority w:val="39"/>
    <w:rsid w:val="00D03DB8"/>
    <w:pPr>
      <w:spacing w:after="0" w:line="240" w:lineRule="auto"/>
    </w:pPr>
    <w:rPr>
      <w:rFonts w:eastAsiaTheme="minorHAnsi"/>
      <w:sz w:val="24"/>
      <w:szCs w:val="24"/>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3DB8"/>
    <w:pPr>
      <w:autoSpaceDE w:val="0"/>
      <w:autoSpaceDN w:val="0"/>
      <w:adjustRightInd w:val="0"/>
      <w:spacing w:after="0" w:line="240" w:lineRule="auto"/>
    </w:pPr>
    <w:rPr>
      <w:rFonts w:ascii="Calibri" w:eastAsiaTheme="minorHAnsi" w:hAnsi="Calibri" w:cs="Calibri"/>
      <w:color w:val="000000"/>
      <w:sz w:val="24"/>
      <w:szCs w:val="24"/>
      <w:lang w:val="en-US"/>
    </w:rPr>
  </w:style>
  <w:style w:type="paragraph" w:styleId="Textocomentario">
    <w:name w:val="annotation text"/>
    <w:basedOn w:val="Normal"/>
    <w:link w:val="TextocomentarioCar"/>
    <w:uiPriority w:val="99"/>
    <w:unhideWhenUsed/>
    <w:rsid w:val="00D03DB8"/>
    <w:pPr>
      <w:spacing w:line="240" w:lineRule="auto"/>
    </w:pPr>
    <w:rPr>
      <w:sz w:val="24"/>
      <w:szCs w:val="24"/>
    </w:rPr>
  </w:style>
  <w:style w:type="character" w:customStyle="1" w:styleId="TextocomentarioCar">
    <w:name w:val="Texto comentario Car"/>
    <w:basedOn w:val="Fuentedeprrafopredeter"/>
    <w:link w:val="Textocomentario"/>
    <w:uiPriority w:val="99"/>
    <w:rsid w:val="00D03DB8"/>
    <w:rPr>
      <w:rFonts w:eastAsiaTheme="minorHAns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educationcluster.box.com/s/n5m5g3gjt7r1xo0qpk9utr70wu81cofl" TargetMode="External"/><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1087</Words>
  <Characters>5981</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Velandria Villalobos</dc:creator>
  <cp:keywords/>
  <dc:description/>
  <cp:lastModifiedBy>Andrea Velandria Villalobos</cp:lastModifiedBy>
  <cp:revision>6</cp:revision>
  <dcterms:created xsi:type="dcterms:W3CDTF">2020-12-08T01:36:00Z</dcterms:created>
  <dcterms:modified xsi:type="dcterms:W3CDTF">2020-12-08T02:39:00Z</dcterms:modified>
</cp:coreProperties>
</file>